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2BD5" w:rsidRDefault="00AC2BD5" w:rsidP="007A6110">
      <w:pPr>
        <w:spacing w:after="0"/>
      </w:pPr>
    </w:p>
    <w:p w:rsidR="00AC2BD5" w:rsidRDefault="00AC2BD5" w:rsidP="007A6110">
      <w:pPr>
        <w:spacing w:after="0"/>
      </w:pPr>
    </w:p>
    <w:p w:rsidR="00AC2BD5" w:rsidRDefault="00AC2BD5" w:rsidP="007A6110">
      <w:pPr>
        <w:spacing w:after="0"/>
      </w:pPr>
    </w:p>
    <w:p w:rsidR="00AC2BD5" w:rsidRDefault="00AC2BD5" w:rsidP="007A6110">
      <w:pPr>
        <w:spacing w:after="0"/>
      </w:pPr>
    </w:p>
    <w:p w:rsidR="00AC2BD5" w:rsidRDefault="00AC2BD5" w:rsidP="007A6110">
      <w:pPr>
        <w:spacing w:after="0"/>
      </w:pPr>
    </w:p>
    <w:p w:rsidR="00AC2BD5" w:rsidRDefault="00AC2BD5" w:rsidP="007A6110">
      <w:pPr>
        <w:spacing w:after="0"/>
      </w:pPr>
    </w:p>
    <w:p w:rsidR="00AC2BD5" w:rsidRDefault="00AC2BD5" w:rsidP="007A6110">
      <w:pPr>
        <w:spacing w:after="0"/>
        <w:jc w:val="center"/>
      </w:pPr>
      <w:r>
        <w:t>Production Possibility Frontier</w:t>
      </w:r>
    </w:p>
    <w:p w:rsidR="00AC2BD5" w:rsidRDefault="00AC2BD5" w:rsidP="007A6110">
      <w:pPr>
        <w:spacing w:after="0"/>
        <w:jc w:val="center"/>
      </w:pPr>
      <w:r>
        <w:t>Name of Student</w:t>
      </w:r>
    </w:p>
    <w:p w:rsidR="00AC2BD5" w:rsidRDefault="00AC2BD5" w:rsidP="007A6110">
      <w:pPr>
        <w:spacing w:after="0"/>
        <w:jc w:val="center"/>
      </w:pPr>
      <w:r>
        <w:t>Name of Institution</w:t>
      </w:r>
    </w:p>
    <w:p w:rsidR="007A6110" w:rsidRDefault="00AC2BD5" w:rsidP="007A6110">
      <w:pPr>
        <w:spacing w:after="0"/>
        <w:jc w:val="center"/>
      </w:pPr>
      <w:r>
        <w:t>Date</w:t>
      </w:r>
    </w:p>
    <w:p w:rsidR="007A6110" w:rsidRDefault="007A6110" w:rsidP="007A6110">
      <w:pPr>
        <w:spacing w:after="0"/>
        <w:jc w:val="center"/>
      </w:pPr>
    </w:p>
    <w:p w:rsidR="007A6110" w:rsidRDefault="007A6110" w:rsidP="007A6110">
      <w:pPr>
        <w:spacing w:after="0"/>
        <w:jc w:val="center"/>
      </w:pPr>
    </w:p>
    <w:p w:rsidR="007A6110" w:rsidRDefault="007A6110" w:rsidP="007A6110">
      <w:pPr>
        <w:spacing w:after="0"/>
        <w:jc w:val="center"/>
      </w:pPr>
    </w:p>
    <w:p w:rsidR="007A6110" w:rsidRDefault="007A6110">
      <w:r>
        <w:br w:type="page"/>
      </w:r>
    </w:p>
    <w:p w:rsidR="007A6110" w:rsidRDefault="007A6110" w:rsidP="007A6110">
      <w:pPr>
        <w:spacing w:after="0"/>
        <w:jc w:val="center"/>
      </w:pPr>
      <w:bookmarkStart w:id="0" w:name="_GoBack"/>
      <w:r>
        <w:lastRenderedPageBreak/>
        <w:t>Production Possibility Frontier</w:t>
      </w:r>
    </w:p>
    <w:bookmarkEnd w:id="0"/>
    <w:p w:rsidR="009245F0" w:rsidRDefault="00FC79ED" w:rsidP="007A6110">
      <w:pPr>
        <w:spacing w:after="0"/>
        <w:jc w:val="center"/>
      </w:pPr>
      <w:r>
        <w:rPr>
          <w:noProof/>
        </w:rPr>
        <w:drawing>
          <wp:inline distT="0" distB="0" distL="0" distR="0">
            <wp:extent cx="4238625" cy="2686050"/>
            <wp:effectExtent l="0" t="0" r="9525" b="190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9915D3" w:rsidRDefault="009915D3" w:rsidP="007A6110">
      <w:pPr>
        <w:spacing w:after="0"/>
        <w:jc w:val="center"/>
      </w:pPr>
      <w:r>
        <w:rPr>
          <w:noProof/>
        </w:rPr>
        <w:drawing>
          <wp:inline distT="0" distB="0" distL="0" distR="0">
            <wp:extent cx="4238625" cy="2428875"/>
            <wp:effectExtent l="0" t="0" r="9525" b="952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9915D3" w:rsidRPr="00E35A86" w:rsidRDefault="00B22465" w:rsidP="007A6110">
      <w:pPr>
        <w:spacing w:after="0"/>
        <w:rPr>
          <w:b/>
        </w:rPr>
      </w:pPr>
      <w:r w:rsidRPr="00E35A86">
        <w:rPr>
          <w:b/>
        </w:rPr>
        <w:t>What would be the production possibility frontiers for Brazil and the United States?</w:t>
      </w:r>
    </w:p>
    <w:p w:rsidR="00491090" w:rsidRDefault="00491090" w:rsidP="007A6110">
      <w:pPr>
        <w:spacing w:after="0"/>
        <w:ind w:firstLine="720"/>
      </w:pPr>
      <w:r>
        <w:t xml:space="preserve">Both countries have a constant rate of opportunity cost, marked by a concurrent decrease in the production of cans of soda with every increase in the production of units of clothing. The production processes of the goods in both countries, according to the data provided, highlights production is not specialized, and neither is labor expedition for production. This scenario denotes that the resources in both countries are not skilled. A likelihood of this scenario is that the factor intensity ratios were constant at all points in the stages of production denoting a </w:t>
      </w:r>
      <w:r>
        <w:lastRenderedPageBreak/>
        <w:t xml:space="preserve">constant value of opportunity cost with every significant change in production. America has an absolute advantage in the production of the cans of soda as compared to Brazil, whereas the latter nation adopts a higher absolute advantage in the production of clothing compared to the former. </w:t>
      </w:r>
    </w:p>
    <w:p w:rsidR="00B22465" w:rsidRPr="00E35A86" w:rsidRDefault="00B22465" w:rsidP="007A6110">
      <w:pPr>
        <w:spacing w:after="0"/>
        <w:rPr>
          <w:b/>
        </w:rPr>
      </w:pPr>
      <w:r w:rsidRPr="00E35A86">
        <w:rPr>
          <w:b/>
        </w:rPr>
        <w:t xml:space="preserve">Without trade, the United States produces and consumes 32,500 units of clothing and 125,000 cans of soda. Without trade Brazil produces and consumes 50,000 units of clothing and 25,000 cans of soda. Denote these points on each country’s production possibility frontier. </w:t>
      </w:r>
    </w:p>
    <w:p w:rsidR="00E35A86" w:rsidRDefault="00E35A86" w:rsidP="007A6110">
      <w:pPr>
        <w:spacing w:after="0"/>
      </w:pPr>
      <w:r>
        <w:rPr>
          <w:noProof/>
        </w:rPr>
        <w:drawing>
          <wp:inline distT="0" distB="0" distL="0" distR="0">
            <wp:extent cx="4448175" cy="2228850"/>
            <wp:effectExtent l="0" t="0" r="9525" b="1905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E35A86" w:rsidRDefault="00E35A86" w:rsidP="007A6110">
      <w:pPr>
        <w:spacing w:after="0"/>
      </w:pPr>
      <w:r>
        <w:rPr>
          <w:noProof/>
        </w:rPr>
        <w:drawing>
          <wp:inline distT="0" distB="0" distL="0" distR="0">
            <wp:extent cx="4391025" cy="2447925"/>
            <wp:effectExtent l="0" t="0" r="9525" b="952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491090" w:rsidRDefault="00491090" w:rsidP="007A6110">
      <w:pPr>
        <w:spacing w:after="0"/>
        <w:rPr>
          <w:b/>
        </w:rPr>
      </w:pPr>
      <w:r w:rsidRPr="00491090">
        <w:rPr>
          <w:b/>
        </w:rPr>
        <w:lastRenderedPageBreak/>
        <w:t>Using what you have learned and any independent research you may conduct, which product should each country specialize in and why?</w:t>
      </w:r>
    </w:p>
    <w:p w:rsidR="00FE2DCD" w:rsidRPr="00FE2DCD" w:rsidRDefault="00FE2DCD" w:rsidP="007A6110">
      <w:pPr>
        <w:pStyle w:val="ListParagraph"/>
        <w:numPr>
          <w:ilvl w:val="0"/>
          <w:numId w:val="1"/>
        </w:numPr>
        <w:spacing w:after="0"/>
        <w:rPr>
          <w:rFonts w:cs="Times New Roman"/>
          <w:b/>
          <w:szCs w:val="24"/>
        </w:rPr>
      </w:pPr>
      <w:r w:rsidRPr="00FE2DCD">
        <w:rPr>
          <w:rFonts w:cs="Times New Roman"/>
          <w:b/>
          <w:color w:val="1D1D1D"/>
          <w:szCs w:val="24"/>
          <w:shd w:val="clear" w:color="auto" w:fill="FFFFFF"/>
        </w:rPr>
        <w:t xml:space="preserve">What is the capital-abundant country? What is the labor-abundant country? </w:t>
      </w:r>
    </w:p>
    <w:p w:rsidR="00491090" w:rsidRDefault="00491090" w:rsidP="007A6110">
      <w:pPr>
        <w:spacing w:after="0"/>
        <w:ind w:firstLine="720"/>
      </w:pPr>
      <w:r>
        <w:t>Since the production of the units of clothing requires more laborers to produce, clothing is the labor-intensive good whereas cans of soda are capital intensive goods. Though America has more significant quantities of both labor and capital, Brazil has a greater portion of labor advantage over America. Similarly, America has a more considerable capital advantage over Brazil. Therefore, Brazil is the abundant labor country of the two while America is the capital abundant between the two. The gist of both comparative and absolute advantage specific to the analysis of both America and Brazil indicate with clarity that each nation is a stronghold in the production of either one of the two products, basing the analysis solely on the cost of production. The total cost of production for clothing concerning the cans of soda for the U.S. is 32.5/125 which equals 0.26. The same ratio adopted for Brazil forms 50/25 which equals to 2. The rates selected above clearly indicate that America should prioritize in the production of cans of soda, whereas it is imperative for Brazil also to place significance in the production of clothing. Another critical determinant of what nation should venture into the production of which commodity is the comparative advantage. Specifications of comparative advantage highlight Brazil having a competitive edge in the production of clothing, while America has the same in soda production.</w:t>
      </w:r>
    </w:p>
    <w:p w:rsidR="00FE2DCD" w:rsidRDefault="00FE2DCD" w:rsidP="007A6110">
      <w:pPr>
        <w:pStyle w:val="ListParagraph"/>
        <w:numPr>
          <w:ilvl w:val="0"/>
          <w:numId w:val="1"/>
        </w:numPr>
        <w:spacing w:after="0"/>
      </w:pPr>
      <w:r w:rsidRPr="00FE2DCD">
        <w:rPr>
          <w:rFonts w:cs="Times New Roman"/>
          <w:b/>
          <w:color w:val="1D1D1D"/>
          <w:szCs w:val="24"/>
          <w:shd w:val="clear" w:color="auto" w:fill="FFFFFF"/>
        </w:rPr>
        <w:t>What is the labor-intensive good?</w:t>
      </w:r>
    </w:p>
    <w:p w:rsidR="00491090" w:rsidRDefault="00491090" w:rsidP="007A6110">
      <w:pPr>
        <w:spacing w:after="0"/>
        <w:ind w:firstLine="720"/>
      </w:pPr>
      <w:r>
        <w:t xml:space="preserve">In the comparison of clothing and cans of soda, the former is the most labor-intensive good. This assessment arises from the fact that the product assumes varying kinds of expertise labor at each vital stage of production. Another contributing factor to this assessment is the fact </w:t>
      </w:r>
      <w:r>
        <w:lastRenderedPageBreak/>
        <w:t>that the production assumes the use of manual labor. Therefore, intensive human labor is adopted to obtain the final product. As a result, clothing is a labor-intensive good (Alvarez-Cuadrado, Van Long, &amp; Poschke, 2017). Contrary to this assessment, America adopts manufacturing in the production of cans of soda. The automated process of production and the ingredients set up in mixing utilizes an assembly line techniq</w:t>
      </w:r>
      <w:r w:rsidR="00FE2DCD">
        <w:t>ue with little human labor. Therefore</w:t>
      </w:r>
      <w:r>
        <w:t>,</w:t>
      </w:r>
      <w:r w:rsidR="00FE2DCD">
        <w:t xml:space="preserve"> this categorizes</w:t>
      </w:r>
      <w:r>
        <w:t xml:space="preserve"> the production of the cans of soda as a capital intensive commodity for America.</w:t>
      </w:r>
    </w:p>
    <w:p w:rsidR="00FE2DCD" w:rsidRDefault="00FE2DCD" w:rsidP="007A6110">
      <w:pPr>
        <w:pStyle w:val="ListParagraph"/>
        <w:numPr>
          <w:ilvl w:val="0"/>
          <w:numId w:val="1"/>
        </w:numPr>
        <w:spacing w:after="0"/>
      </w:pPr>
      <w:r w:rsidRPr="00FE2DCD">
        <w:rPr>
          <w:rFonts w:cs="Times New Roman"/>
          <w:b/>
          <w:color w:val="1D1D1D"/>
          <w:szCs w:val="24"/>
          <w:shd w:val="clear" w:color="auto" w:fill="FFFFFF"/>
        </w:rPr>
        <w:t>What is the Marginal Rate of Transformation impact?</w:t>
      </w:r>
    </w:p>
    <w:p w:rsidR="00491090" w:rsidRDefault="00491090" w:rsidP="007A6110">
      <w:pPr>
        <w:spacing w:after="0"/>
        <w:ind w:firstLine="720"/>
      </w:pPr>
      <w:r>
        <w:t>The marginal rate of transformational impact, similar to the production possibility frontier, is a representation of how much sacrifice is required to drop the production of a good in favor of another while maintaining the use of technology and production factors at a constant (Sueyoshi &amp; Yuan, 2016). The slope for PPF does not align to a 45-degree angle in both nations, and as such, the marginal rate of transformation is not equal to 1 signifying that goods are not perfect substitutes. For America, the MRT rate for clothing to soda is equivalent to two which means that for every unit increase in the production of soda, the nation has to lose two units of production of clothing. Brazil, on the other hand, has the same ratio at 0.26 signifying that a unit increase in the production of soda results in a decrease of 0.26 units of clothing production.</w:t>
      </w:r>
    </w:p>
    <w:p w:rsidR="00FE2DCD" w:rsidRPr="00FE2DCD" w:rsidRDefault="00FE2DCD" w:rsidP="007A6110">
      <w:pPr>
        <w:pStyle w:val="ListParagraph"/>
        <w:numPr>
          <w:ilvl w:val="0"/>
          <w:numId w:val="1"/>
        </w:numPr>
        <w:spacing w:after="0"/>
        <w:rPr>
          <w:rFonts w:cs="Times New Roman"/>
          <w:b/>
          <w:szCs w:val="24"/>
        </w:rPr>
      </w:pPr>
      <w:r w:rsidRPr="00FE2DCD">
        <w:rPr>
          <w:rFonts w:cs="Times New Roman"/>
          <w:b/>
          <w:color w:val="1D1D1D"/>
          <w:szCs w:val="24"/>
          <w:shd w:val="clear" w:color="auto" w:fill="FFFFFF"/>
        </w:rPr>
        <w:t>Could trade help reduce poverty in Brazil and other developing countries?</w:t>
      </w:r>
    </w:p>
    <w:p w:rsidR="000A44F8" w:rsidRDefault="00491090" w:rsidP="007A6110">
      <w:pPr>
        <w:spacing w:after="0"/>
        <w:ind w:firstLine="720"/>
      </w:pPr>
      <w:r>
        <w:t xml:space="preserve">Brazil adopts the use of human labor intensively making the nation a labor-abundant country. The significance placed on capital in production makes America the more capital-abundant country from the two. The opportunity costs projected advantages realized when each nation opts loses out on the production of a particular product in favor of another, derived from the specialization in the production of a single commodity according to this specific analysis dictates that both nations will further become self-sufficient within their boundaries. The World </w:t>
      </w:r>
      <w:r>
        <w:lastRenderedPageBreak/>
        <w:t>Trade Organization published a study that shows a reduction in poverty levels due to free trade in developing countries (Wade, 2013), such as Brazil. The developing countries will experience more economic growth if they are open to trade and globalization, thus reducing their poverty levels. However, developing countries need to assert a stable government which helps in developing trade agreements</w:t>
      </w:r>
      <w:r w:rsidR="002578DB">
        <w:t xml:space="preserve"> </w:t>
      </w:r>
      <w:r w:rsidR="000A44F8">
        <w:br w:type="page"/>
      </w:r>
    </w:p>
    <w:sdt>
      <w:sdtPr>
        <w:rPr>
          <w:rFonts w:ascii="Times New Roman" w:eastAsiaTheme="minorHAnsi" w:hAnsi="Times New Roman" w:cstheme="minorBidi"/>
          <w:b w:val="0"/>
          <w:bCs w:val="0"/>
          <w:color w:val="auto"/>
          <w:sz w:val="24"/>
          <w:szCs w:val="22"/>
          <w:lang w:eastAsia="en-US"/>
        </w:rPr>
        <w:id w:val="-1477676837"/>
        <w:docPartObj>
          <w:docPartGallery w:val="Bibliographies"/>
          <w:docPartUnique/>
        </w:docPartObj>
      </w:sdtPr>
      <w:sdtEndPr/>
      <w:sdtContent>
        <w:p w:rsidR="000A44F8" w:rsidRPr="000A44F8" w:rsidRDefault="000A44F8" w:rsidP="007A6110">
          <w:pPr>
            <w:pStyle w:val="Heading1"/>
            <w:spacing w:before="0" w:line="480" w:lineRule="auto"/>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EndPr/>
          <w:sdtContent>
            <w:p w:rsidR="009A4861" w:rsidRDefault="000A44F8" w:rsidP="007A6110">
              <w:pPr>
                <w:pStyle w:val="Bibliography"/>
                <w:spacing w:after="0"/>
                <w:ind w:left="720" w:hanging="720"/>
                <w:rPr>
                  <w:noProof/>
                </w:rPr>
              </w:pPr>
              <w:r>
                <w:fldChar w:fldCharType="begin"/>
              </w:r>
              <w:r>
                <w:instrText xml:space="preserve"> BIBLIOGRAPHY </w:instrText>
              </w:r>
              <w:r>
                <w:fldChar w:fldCharType="separate"/>
              </w:r>
              <w:r w:rsidR="009A4861">
                <w:rPr>
                  <w:noProof/>
                </w:rPr>
                <w:t xml:space="preserve">Alvarez-Cuadrado, F., Van Long, N., &amp; Poschke, M. (2017). "Capital–labor substitution, structural change, and growth.". </w:t>
              </w:r>
              <w:r w:rsidR="009A4861">
                <w:rPr>
                  <w:i/>
                  <w:iCs/>
                  <w:noProof/>
                </w:rPr>
                <w:t>Theoretical Economics, 12</w:t>
              </w:r>
              <w:r w:rsidR="009A4861">
                <w:rPr>
                  <w:noProof/>
                </w:rPr>
                <w:t>(3), 1229-1266.</w:t>
              </w:r>
            </w:p>
            <w:p w:rsidR="009A4861" w:rsidRDefault="009A4861" w:rsidP="007A6110">
              <w:pPr>
                <w:pStyle w:val="Bibliography"/>
                <w:spacing w:after="0"/>
                <w:ind w:left="720" w:hanging="720"/>
                <w:rPr>
                  <w:noProof/>
                </w:rPr>
              </w:pPr>
              <w:r>
                <w:rPr>
                  <w:noProof/>
                </w:rPr>
                <w:t xml:space="preserve">Sueyoshi, T., &amp; Yuan, Y. (2016). Marginal Rate of Transformation and Rate of Substitution measured by DEA environmental assessment: Comparison among European and North American nations. </w:t>
              </w:r>
              <w:r>
                <w:rPr>
                  <w:i/>
                  <w:iCs/>
                  <w:noProof/>
                </w:rPr>
                <w:t>Energy Economics, 56</w:t>
              </w:r>
              <w:r>
                <w:rPr>
                  <w:noProof/>
                </w:rPr>
                <w:t>, 270-287.</w:t>
              </w:r>
            </w:p>
            <w:p w:rsidR="009A4861" w:rsidRDefault="009A4861" w:rsidP="007A6110">
              <w:pPr>
                <w:pStyle w:val="Bibliography"/>
                <w:spacing w:after="0"/>
                <w:ind w:left="720" w:hanging="720"/>
                <w:rPr>
                  <w:noProof/>
                </w:rPr>
              </w:pPr>
              <w:r>
                <w:rPr>
                  <w:noProof/>
                </w:rPr>
                <w:t xml:space="preserve">Wade, R. H. (2013). What strategies are viable for developing countries today? The World Trade Organization and the shrinking of ‘development space’. </w:t>
              </w:r>
              <w:r>
                <w:rPr>
                  <w:i/>
                  <w:iCs/>
                  <w:noProof/>
                </w:rPr>
                <w:t>Review of international political economy, 10</w:t>
              </w:r>
              <w:r>
                <w:rPr>
                  <w:noProof/>
                </w:rPr>
                <w:t>(4), 621-644.</w:t>
              </w:r>
            </w:p>
            <w:p w:rsidR="000A44F8" w:rsidRDefault="000A44F8" w:rsidP="007A6110">
              <w:pPr>
                <w:spacing w:after="0"/>
              </w:pPr>
              <w:r>
                <w:rPr>
                  <w:b/>
                  <w:bCs/>
                  <w:noProof/>
                </w:rPr>
                <w:fldChar w:fldCharType="end"/>
              </w:r>
            </w:p>
          </w:sdtContent>
        </w:sdt>
      </w:sdtContent>
    </w:sdt>
    <w:p w:rsidR="000A44F8" w:rsidRDefault="000A44F8" w:rsidP="007A6110">
      <w:pPr>
        <w:spacing w:after="0"/>
        <w:ind w:firstLine="720"/>
      </w:pPr>
    </w:p>
    <w:sectPr w:rsidR="000A44F8" w:rsidSect="00AC2BD5">
      <w:headerReference w:type="default" r:id="rId12"/>
      <w:headerReference w:type="first" r:id="rId13"/>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1581" w:rsidRDefault="00B61581" w:rsidP="00AC2BD5">
      <w:pPr>
        <w:spacing w:after="0" w:line="240" w:lineRule="auto"/>
      </w:pPr>
      <w:r>
        <w:separator/>
      </w:r>
    </w:p>
  </w:endnote>
  <w:endnote w:type="continuationSeparator" w:id="0">
    <w:p w:rsidR="00B61581" w:rsidRDefault="00B61581" w:rsidP="00AC2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1581" w:rsidRDefault="00B61581" w:rsidP="00AC2BD5">
      <w:pPr>
        <w:spacing w:after="0" w:line="240" w:lineRule="auto"/>
      </w:pPr>
      <w:r>
        <w:separator/>
      </w:r>
    </w:p>
  </w:footnote>
  <w:footnote w:type="continuationSeparator" w:id="0">
    <w:p w:rsidR="00B61581" w:rsidRDefault="00B61581" w:rsidP="00AC2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BD5" w:rsidRDefault="00AC2BD5">
    <w:pPr>
      <w:pStyle w:val="Header"/>
      <w:jc w:val="right"/>
    </w:pPr>
    <w:r>
      <w:t>PRODUCTION POSSIBILITY FRONTIER</w:t>
    </w:r>
    <w:r>
      <w:tab/>
    </w:r>
    <w:r>
      <w:tab/>
    </w:r>
    <w:sdt>
      <w:sdtPr>
        <w:id w:val="-204173674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47829">
          <w:rPr>
            <w:noProof/>
          </w:rPr>
          <w:t>2</w:t>
        </w:r>
        <w:r>
          <w:rPr>
            <w:noProof/>
          </w:rPr>
          <w:fldChar w:fldCharType="end"/>
        </w:r>
      </w:sdtContent>
    </w:sdt>
  </w:p>
  <w:p w:rsidR="00AC2BD5" w:rsidRDefault="00AC2BD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BD5" w:rsidRDefault="00AC2BD5">
    <w:pPr>
      <w:pStyle w:val="Header"/>
      <w:jc w:val="right"/>
    </w:pPr>
    <w:r>
      <w:t xml:space="preserve">Running Head: PRODUCTION POSSIBILITY FRONTIER </w:t>
    </w:r>
    <w:r>
      <w:tab/>
    </w:r>
    <w:sdt>
      <w:sdtPr>
        <w:id w:val="-188956062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47829">
          <w:rPr>
            <w:noProof/>
          </w:rPr>
          <w:t>1</w:t>
        </w:r>
        <w:r>
          <w:rPr>
            <w:noProof/>
          </w:rPr>
          <w:fldChar w:fldCharType="end"/>
        </w:r>
      </w:sdtContent>
    </w:sdt>
  </w:p>
  <w:p w:rsidR="00AC2BD5" w:rsidRDefault="00AC2BD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8E0EA7"/>
    <w:multiLevelType w:val="hybridMultilevel"/>
    <w:tmpl w:val="FD48621A"/>
    <w:lvl w:ilvl="0" w:tplc="633A02F6">
      <w:start w:val="1"/>
      <w:numFmt w:val="lowerLetter"/>
      <w:lvlText w:val="%1)"/>
      <w:lvlJc w:val="left"/>
      <w:pPr>
        <w:ind w:left="720" w:hanging="360"/>
      </w:pPr>
      <w:rPr>
        <w:rFonts w:hint="default"/>
        <w:color w:val="1D1D1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A43"/>
    <w:rsid w:val="000A44F8"/>
    <w:rsid w:val="000A4A2D"/>
    <w:rsid w:val="000D2403"/>
    <w:rsid w:val="00147829"/>
    <w:rsid w:val="001D0F65"/>
    <w:rsid w:val="002578DB"/>
    <w:rsid w:val="002612B1"/>
    <w:rsid w:val="002719AD"/>
    <w:rsid w:val="002A3A43"/>
    <w:rsid w:val="002E53AF"/>
    <w:rsid w:val="00491090"/>
    <w:rsid w:val="005025FD"/>
    <w:rsid w:val="00513C96"/>
    <w:rsid w:val="0055662C"/>
    <w:rsid w:val="006E6D27"/>
    <w:rsid w:val="007573BC"/>
    <w:rsid w:val="007A6110"/>
    <w:rsid w:val="00812B9F"/>
    <w:rsid w:val="008538A0"/>
    <w:rsid w:val="008A201E"/>
    <w:rsid w:val="009245F0"/>
    <w:rsid w:val="00944D69"/>
    <w:rsid w:val="00945F07"/>
    <w:rsid w:val="009915D3"/>
    <w:rsid w:val="009A4861"/>
    <w:rsid w:val="00AC2BD5"/>
    <w:rsid w:val="00B22465"/>
    <w:rsid w:val="00B61581"/>
    <w:rsid w:val="00B7459C"/>
    <w:rsid w:val="00D31623"/>
    <w:rsid w:val="00E35A86"/>
    <w:rsid w:val="00F170EC"/>
    <w:rsid w:val="00FC79ED"/>
    <w:rsid w:val="00FE2D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38A5E"/>
  <w15:docId w15:val="{5A689481-9EC9-4156-8A9F-156D4E51C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A44F8"/>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12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B1"/>
    <w:rPr>
      <w:rFonts w:ascii="Tahoma" w:hAnsi="Tahoma" w:cs="Tahoma"/>
      <w:sz w:val="16"/>
      <w:szCs w:val="16"/>
    </w:rPr>
  </w:style>
  <w:style w:type="character" w:customStyle="1" w:styleId="Heading1Char">
    <w:name w:val="Heading 1 Char"/>
    <w:basedOn w:val="DefaultParagraphFont"/>
    <w:link w:val="Heading1"/>
    <w:uiPriority w:val="9"/>
    <w:rsid w:val="000A44F8"/>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AC2BD5"/>
  </w:style>
  <w:style w:type="paragraph" w:styleId="Header">
    <w:name w:val="header"/>
    <w:basedOn w:val="Normal"/>
    <w:link w:val="HeaderChar"/>
    <w:uiPriority w:val="99"/>
    <w:unhideWhenUsed/>
    <w:rsid w:val="00AC2B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2BD5"/>
  </w:style>
  <w:style w:type="paragraph" w:styleId="Footer">
    <w:name w:val="footer"/>
    <w:basedOn w:val="Normal"/>
    <w:link w:val="FooterChar"/>
    <w:uiPriority w:val="99"/>
    <w:unhideWhenUsed/>
    <w:rsid w:val="00AC2B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2BD5"/>
  </w:style>
  <w:style w:type="paragraph" w:styleId="ListParagraph">
    <w:name w:val="List Paragraph"/>
    <w:basedOn w:val="Normal"/>
    <w:uiPriority w:val="34"/>
    <w:qFormat/>
    <w:rsid w:val="00FE2D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Brazil PPF</a:t>
            </a:r>
          </a:p>
        </c:rich>
      </c:tx>
      <c:overlay val="0"/>
    </c:title>
    <c:autoTitleDeleted val="0"/>
    <c:plotArea>
      <c:layout/>
      <c:scatterChart>
        <c:scatterStyle val="smoothMarker"/>
        <c:varyColors val="0"/>
        <c:ser>
          <c:idx val="0"/>
          <c:order val="0"/>
          <c:tx>
            <c:strRef>
              <c:f>Sheet1!$B$1</c:f>
              <c:strCache>
                <c:ptCount val="1"/>
                <c:pt idx="0">
                  <c:v>Y-Values</c:v>
                </c:pt>
              </c:strCache>
            </c:strRef>
          </c:tx>
          <c:xVal>
            <c:numRef>
              <c:f>Sheet1!$A$2:$A$3</c:f>
              <c:numCache>
                <c:formatCode>General</c:formatCode>
                <c:ptCount val="2"/>
                <c:pt idx="0">
                  <c:v>0</c:v>
                </c:pt>
                <c:pt idx="1">
                  <c:v>50</c:v>
                </c:pt>
              </c:numCache>
            </c:numRef>
          </c:xVal>
          <c:yVal>
            <c:numRef>
              <c:f>Sheet1!$B$2:$B$3</c:f>
              <c:numCache>
                <c:formatCode>General</c:formatCode>
                <c:ptCount val="2"/>
                <c:pt idx="0">
                  <c:v>100</c:v>
                </c:pt>
                <c:pt idx="1">
                  <c:v>0</c:v>
                </c:pt>
              </c:numCache>
            </c:numRef>
          </c:yVal>
          <c:smooth val="1"/>
          <c:extLst>
            <c:ext xmlns:c16="http://schemas.microsoft.com/office/drawing/2014/chart" uri="{C3380CC4-5D6E-409C-BE32-E72D297353CC}">
              <c16:uniqueId val="{00000000-DD5F-41C3-8DED-7BAB2A13EFBB}"/>
            </c:ext>
          </c:extLst>
        </c:ser>
        <c:dLbls>
          <c:showLegendKey val="0"/>
          <c:showVal val="0"/>
          <c:showCatName val="0"/>
          <c:showSerName val="0"/>
          <c:showPercent val="0"/>
          <c:showBubbleSize val="0"/>
        </c:dLbls>
        <c:axId val="94141824"/>
        <c:axId val="65335680"/>
      </c:scatterChart>
      <c:valAx>
        <c:axId val="94141824"/>
        <c:scaling>
          <c:orientation val="minMax"/>
        </c:scaling>
        <c:delete val="0"/>
        <c:axPos val="b"/>
        <c:title>
          <c:tx>
            <c:rich>
              <a:bodyPr/>
              <a:lstStyle/>
              <a:p>
                <a:pPr>
                  <a:defRPr/>
                </a:pPr>
                <a:r>
                  <a:rPr lang="en-US"/>
                  <a:t>Cans of Soda (</a:t>
                </a:r>
                <a:r>
                  <a:rPr lang="en-US">
                    <a:latin typeface="Times New Roman"/>
                    <a:cs typeface="Times New Roman"/>
                  </a:rPr>
                  <a:t>×1000)</a:t>
                </a:r>
                <a:endParaRPr lang="en-US"/>
              </a:p>
            </c:rich>
          </c:tx>
          <c:overlay val="0"/>
        </c:title>
        <c:numFmt formatCode="General" sourceLinked="1"/>
        <c:majorTickMark val="out"/>
        <c:minorTickMark val="none"/>
        <c:tickLblPos val="nextTo"/>
        <c:crossAx val="65335680"/>
        <c:crosses val="autoZero"/>
        <c:crossBetween val="midCat"/>
      </c:valAx>
      <c:valAx>
        <c:axId val="65335680"/>
        <c:scaling>
          <c:orientation val="minMax"/>
        </c:scaling>
        <c:delete val="0"/>
        <c:axPos val="l"/>
        <c:majorGridlines/>
        <c:title>
          <c:tx>
            <c:rich>
              <a:bodyPr rot="-5400000" vert="horz"/>
              <a:lstStyle/>
              <a:p>
                <a:pPr>
                  <a:defRPr/>
                </a:pPr>
                <a:r>
                  <a:rPr lang="en-US"/>
                  <a:t>Units of Clohing (</a:t>
                </a:r>
                <a:r>
                  <a:rPr lang="en-US">
                    <a:latin typeface="Times New Roman"/>
                    <a:cs typeface="Times New Roman"/>
                  </a:rPr>
                  <a:t>×10000</a:t>
                </a:r>
                <a:endParaRPr lang="en-US"/>
              </a:p>
            </c:rich>
          </c:tx>
          <c:overlay val="0"/>
        </c:title>
        <c:numFmt formatCode="General" sourceLinked="1"/>
        <c:majorTickMark val="out"/>
        <c:minorTickMark val="none"/>
        <c:tickLblPos val="nextTo"/>
        <c:crossAx val="94141824"/>
        <c:crosses val="autoZero"/>
        <c:crossBetween val="midCat"/>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America PPF</a:t>
            </a:r>
          </a:p>
        </c:rich>
      </c:tx>
      <c:overlay val="0"/>
    </c:title>
    <c:autoTitleDeleted val="0"/>
    <c:plotArea>
      <c:layout/>
      <c:scatterChart>
        <c:scatterStyle val="smoothMarker"/>
        <c:varyColors val="0"/>
        <c:ser>
          <c:idx val="0"/>
          <c:order val="0"/>
          <c:tx>
            <c:strRef>
              <c:f>Sheet1!$B$1</c:f>
              <c:strCache>
                <c:ptCount val="1"/>
                <c:pt idx="0">
                  <c:v>Y-Values</c:v>
                </c:pt>
              </c:strCache>
            </c:strRef>
          </c:tx>
          <c:xVal>
            <c:numRef>
              <c:f>Sheet1!$A$2:$A$3</c:f>
              <c:numCache>
                <c:formatCode>General</c:formatCode>
                <c:ptCount val="2"/>
                <c:pt idx="0">
                  <c:v>0</c:v>
                </c:pt>
                <c:pt idx="1">
                  <c:v>250</c:v>
                </c:pt>
              </c:numCache>
            </c:numRef>
          </c:xVal>
          <c:yVal>
            <c:numRef>
              <c:f>Sheet1!$B$2:$B$3</c:f>
              <c:numCache>
                <c:formatCode>General</c:formatCode>
                <c:ptCount val="2"/>
                <c:pt idx="0">
                  <c:v>65</c:v>
                </c:pt>
                <c:pt idx="1">
                  <c:v>0</c:v>
                </c:pt>
              </c:numCache>
            </c:numRef>
          </c:yVal>
          <c:smooth val="1"/>
          <c:extLst>
            <c:ext xmlns:c16="http://schemas.microsoft.com/office/drawing/2014/chart" uri="{C3380CC4-5D6E-409C-BE32-E72D297353CC}">
              <c16:uniqueId val="{00000000-BA77-4A63-8344-3FB2F01396F4}"/>
            </c:ext>
          </c:extLst>
        </c:ser>
        <c:dLbls>
          <c:showLegendKey val="0"/>
          <c:showVal val="0"/>
          <c:showCatName val="0"/>
          <c:showSerName val="0"/>
          <c:showPercent val="0"/>
          <c:showBubbleSize val="0"/>
        </c:dLbls>
        <c:axId val="65393024"/>
        <c:axId val="65394944"/>
      </c:scatterChart>
      <c:valAx>
        <c:axId val="65393024"/>
        <c:scaling>
          <c:orientation val="minMax"/>
        </c:scaling>
        <c:delete val="0"/>
        <c:axPos val="b"/>
        <c:title>
          <c:tx>
            <c:rich>
              <a:bodyPr/>
              <a:lstStyle/>
              <a:p>
                <a:pPr>
                  <a:defRPr/>
                </a:pPr>
                <a:r>
                  <a:rPr lang="en-US"/>
                  <a:t>Cans of Soda (</a:t>
                </a:r>
                <a:r>
                  <a:rPr lang="en-US">
                    <a:latin typeface="Times New Roman"/>
                    <a:cs typeface="Times New Roman"/>
                  </a:rPr>
                  <a:t>×1000)</a:t>
                </a:r>
                <a:endParaRPr lang="en-US"/>
              </a:p>
            </c:rich>
          </c:tx>
          <c:overlay val="0"/>
        </c:title>
        <c:numFmt formatCode="General" sourceLinked="1"/>
        <c:majorTickMark val="out"/>
        <c:minorTickMark val="none"/>
        <c:tickLblPos val="nextTo"/>
        <c:crossAx val="65394944"/>
        <c:crosses val="autoZero"/>
        <c:crossBetween val="midCat"/>
      </c:valAx>
      <c:valAx>
        <c:axId val="65394944"/>
        <c:scaling>
          <c:orientation val="minMax"/>
        </c:scaling>
        <c:delete val="0"/>
        <c:axPos val="l"/>
        <c:majorGridlines/>
        <c:title>
          <c:tx>
            <c:rich>
              <a:bodyPr rot="-5400000" vert="horz"/>
              <a:lstStyle/>
              <a:p>
                <a:pPr>
                  <a:defRPr/>
                </a:pPr>
                <a:r>
                  <a:rPr lang="en-US"/>
                  <a:t>Units of Clothing (</a:t>
                </a:r>
                <a:r>
                  <a:rPr lang="en-US">
                    <a:latin typeface="Times New Roman"/>
                    <a:cs typeface="Times New Roman"/>
                  </a:rPr>
                  <a:t>×1000)</a:t>
                </a:r>
                <a:endParaRPr lang="en-US"/>
              </a:p>
            </c:rich>
          </c:tx>
          <c:overlay val="0"/>
        </c:title>
        <c:numFmt formatCode="General" sourceLinked="1"/>
        <c:majorTickMark val="out"/>
        <c:minorTickMark val="none"/>
        <c:tickLblPos val="nextTo"/>
        <c:crossAx val="65393024"/>
        <c:crosses val="autoZero"/>
        <c:crossBetween val="midCat"/>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Brazil PPF</a:t>
            </a:r>
          </a:p>
        </c:rich>
      </c:tx>
      <c:overlay val="0"/>
    </c:title>
    <c:autoTitleDeleted val="0"/>
    <c:plotArea>
      <c:layout/>
      <c:scatterChart>
        <c:scatterStyle val="smoothMarker"/>
        <c:varyColors val="0"/>
        <c:ser>
          <c:idx val="0"/>
          <c:order val="0"/>
          <c:tx>
            <c:strRef>
              <c:f>Sheet1!$B$1</c:f>
              <c:strCache>
                <c:ptCount val="1"/>
                <c:pt idx="0">
                  <c:v>Y-Values</c:v>
                </c:pt>
              </c:strCache>
            </c:strRef>
          </c:tx>
          <c:xVal>
            <c:numRef>
              <c:f>Sheet1!$A$2:$A$4</c:f>
              <c:numCache>
                <c:formatCode>General</c:formatCode>
                <c:ptCount val="3"/>
                <c:pt idx="0">
                  <c:v>0</c:v>
                </c:pt>
                <c:pt idx="1">
                  <c:v>25</c:v>
                </c:pt>
                <c:pt idx="2">
                  <c:v>50</c:v>
                </c:pt>
              </c:numCache>
            </c:numRef>
          </c:xVal>
          <c:yVal>
            <c:numRef>
              <c:f>Sheet1!$B$2:$B$4</c:f>
              <c:numCache>
                <c:formatCode>General</c:formatCode>
                <c:ptCount val="3"/>
                <c:pt idx="0">
                  <c:v>100</c:v>
                </c:pt>
                <c:pt idx="1">
                  <c:v>50</c:v>
                </c:pt>
                <c:pt idx="2">
                  <c:v>0</c:v>
                </c:pt>
              </c:numCache>
            </c:numRef>
          </c:yVal>
          <c:smooth val="1"/>
          <c:extLst>
            <c:ext xmlns:c16="http://schemas.microsoft.com/office/drawing/2014/chart" uri="{C3380CC4-5D6E-409C-BE32-E72D297353CC}">
              <c16:uniqueId val="{00000000-5DBB-42A2-91E5-8BCF63C69A14}"/>
            </c:ext>
          </c:extLst>
        </c:ser>
        <c:dLbls>
          <c:showLegendKey val="0"/>
          <c:showVal val="0"/>
          <c:showCatName val="0"/>
          <c:showSerName val="0"/>
          <c:showPercent val="0"/>
          <c:showBubbleSize val="0"/>
        </c:dLbls>
        <c:axId val="97376512"/>
        <c:axId val="97382784"/>
      </c:scatterChart>
      <c:valAx>
        <c:axId val="97376512"/>
        <c:scaling>
          <c:orientation val="minMax"/>
        </c:scaling>
        <c:delete val="0"/>
        <c:axPos val="b"/>
        <c:title>
          <c:tx>
            <c:rich>
              <a:bodyPr/>
              <a:lstStyle/>
              <a:p>
                <a:pPr>
                  <a:defRPr/>
                </a:pPr>
                <a:r>
                  <a:rPr lang="en-US"/>
                  <a:t>Cans of Soda (</a:t>
                </a:r>
                <a:r>
                  <a:rPr lang="en-US">
                    <a:latin typeface="Times New Roman"/>
                    <a:cs typeface="Times New Roman"/>
                  </a:rPr>
                  <a:t>×</a:t>
                </a:r>
                <a:endParaRPr lang="en-US"/>
              </a:p>
            </c:rich>
          </c:tx>
          <c:overlay val="0"/>
        </c:title>
        <c:numFmt formatCode="General" sourceLinked="1"/>
        <c:majorTickMark val="out"/>
        <c:minorTickMark val="none"/>
        <c:tickLblPos val="nextTo"/>
        <c:crossAx val="97382784"/>
        <c:crosses val="autoZero"/>
        <c:crossBetween val="midCat"/>
      </c:valAx>
      <c:valAx>
        <c:axId val="97382784"/>
        <c:scaling>
          <c:orientation val="minMax"/>
        </c:scaling>
        <c:delete val="0"/>
        <c:axPos val="l"/>
        <c:majorGridlines/>
        <c:title>
          <c:tx>
            <c:rich>
              <a:bodyPr rot="-5400000" vert="horz"/>
              <a:lstStyle/>
              <a:p>
                <a:pPr>
                  <a:defRPr/>
                </a:pPr>
                <a:r>
                  <a:rPr lang="en-US"/>
                  <a:t>Units of Clothing (</a:t>
                </a:r>
                <a:r>
                  <a:rPr lang="en-US">
                    <a:latin typeface="Times New Roman"/>
                    <a:cs typeface="Times New Roman"/>
                  </a:rPr>
                  <a:t>×1000)</a:t>
                </a:r>
                <a:endParaRPr lang="en-US"/>
              </a:p>
            </c:rich>
          </c:tx>
          <c:overlay val="0"/>
        </c:title>
        <c:numFmt formatCode="General" sourceLinked="1"/>
        <c:majorTickMark val="out"/>
        <c:minorTickMark val="none"/>
        <c:tickLblPos val="nextTo"/>
        <c:crossAx val="97376512"/>
        <c:crosses val="autoZero"/>
        <c:crossBetween val="midCat"/>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America PPF</a:t>
            </a:r>
          </a:p>
        </c:rich>
      </c:tx>
      <c:overlay val="0"/>
    </c:title>
    <c:autoTitleDeleted val="0"/>
    <c:plotArea>
      <c:layout/>
      <c:scatterChart>
        <c:scatterStyle val="smoothMarker"/>
        <c:varyColors val="0"/>
        <c:ser>
          <c:idx val="0"/>
          <c:order val="0"/>
          <c:tx>
            <c:strRef>
              <c:f>Sheet1!$B$1</c:f>
              <c:strCache>
                <c:ptCount val="1"/>
                <c:pt idx="0">
                  <c:v>Y-Values</c:v>
                </c:pt>
              </c:strCache>
            </c:strRef>
          </c:tx>
          <c:xVal>
            <c:numRef>
              <c:f>Sheet1!$A$2:$A$4</c:f>
              <c:numCache>
                <c:formatCode>General</c:formatCode>
                <c:ptCount val="3"/>
                <c:pt idx="0">
                  <c:v>0</c:v>
                </c:pt>
                <c:pt idx="1">
                  <c:v>125</c:v>
                </c:pt>
                <c:pt idx="2">
                  <c:v>250</c:v>
                </c:pt>
              </c:numCache>
            </c:numRef>
          </c:xVal>
          <c:yVal>
            <c:numRef>
              <c:f>Sheet1!$B$2:$B$4</c:f>
              <c:numCache>
                <c:formatCode>General</c:formatCode>
                <c:ptCount val="3"/>
                <c:pt idx="0">
                  <c:v>65</c:v>
                </c:pt>
                <c:pt idx="1">
                  <c:v>32.5</c:v>
                </c:pt>
                <c:pt idx="2">
                  <c:v>0</c:v>
                </c:pt>
              </c:numCache>
            </c:numRef>
          </c:yVal>
          <c:smooth val="1"/>
          <c:extLst>
            <c:ext xmlns:c16="http://schemas.microsoft.com/office/drawing/2014/chart" uri="{C3380CC4-5D6E-409C-BE32-E72D297353CC}">
              <c16:uniqueId val="{00000000-DBC8-4B56-A827-0C2F6252851E}"/>
            </c:ext>
          </c:extLst>
        </c:ser>
        <c:dLbls>
          <c:showLegendKey val="0"/>
          <c:showVal val="0"/>
          <c:showCatName val="0"/>
          <c:showSerName val="0"/>
          <c:showPercent val="0"/>
          <c:showBubbleSize val="0"/>
        </c:dLbls>
        <c:axId val="101147008"/>
        <c:axId val="101148928"/>
      </c:scatterChart>
      <c:valAx>
        <c:axId val="101147008"/>
        <c:scaling>
          <c:orientation val="minMax"/>
        </c:scaling>
        <c:delete val="0"/>
        <c:axPos val="b"/>
        <c:title>
          <c:tx>
            <c:rich>
              <a:bodyPr/>
              <a:lstStyle/>
              <a:p>
                <a:pPr>
                  <a:defRPr/>
                </a:pPr>
                <a:r>
                  <a:rPr lang="en-US"/>
                  <a:t>Cans of Soda (</a:t>
                </a:r>
                <a:r>
                  <a:rPr lang="en-US">
                    <a:latin typeface="Times New Roman"/>
                    <a:cs typeface="Times New Roman"/>
                  </a:rPr>
                  <a:t>×1000)</a:t>
                </a:r>
                <a:endParaRPr lang="en-US"/>
              </a:p>
            </c:rich>
          </c:tx>
          <c:overlay val="0"/>
        </c:title>
        <c:numFmt formatCode="General" sourceLinked="1"/>
        <c:majorTickMark val="out"/>
        <c:minorTickMark val="none"/>
        <c:tickLblPos val="nextTo"/>
        <c:crossAx val="101148928"/>
        <c:crosses val="autoZero"/>
        <c:crossBetween val="midCat"/>
      </c:valAx>
      <c:valAx>
        <c:axId val="101148928"/>
        <c:scaling>
          <c:orientation val="minMax"/>
        </c:scaling>
        <c:delete val="0"/>
        <c:axPos val="l"/>
        <c:majorGridlines/>
        <c:title>
          <c:tx>
            <c:rich>
              <a:bodyPr rot="-5400000" vert="horz"/>
              <a:lstStyle/>
              <a:p>
                <a:pPr>
                  <a:defRPr/>
                </a:pPr>
                <a:r>
                  <a:rPr lang="en-US"/>
                  <a:t>Units of Clothing (</a:t>
                </a:r>
                <a:r>
                  <a:rPr lang="en-US">
                    <a:latin typeface="Times New Roman"/>
                    <a:cs typeface="Times New Roman"/>
                  </a:rPr>
                  <a:t>×1000)</a:t>
                </a:r>
                <a:endParaRPr lang="en-US"/>
              </a:p>
            </c:rich>
          </c:tx>
          <c:overlay val="0"/>
        </c:title>
        <c:numFmt formatCode="General" sourceLinked="1"/>
        <c:majorTickMark val="out"/>
        <c:minorTickMark val="none"/>
        <c:tickLblPos val="nextTo"/>
        <c:crossAx val="101147008"/>
        <c:crosses val="autoZero"/>
        <c:crossBetween val="midCat"/>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Wad13</b:Tag>
    <b:SourceType>JournalArticle</b:SourceType>
    <b:Guid>{E5426ED2-89C9-4B45-B894-4F96DEA7B01C}</b:Guid>
    <b:Title>What strategies are viable for developing countries today? The World Trade Organization and the shrinking of ‘development space’.</b:Title>
    <b:JournalName>Review of international political economy</b:JournalName>
    <b:Year>2013</b:Year>
    <b:Author>
      <b:Author>
        <b:NameList>
          <b:Person>
            <b:Last>Wade</b:Last>
            <b:Middle>Hunter</b:Middle>
            <b:First>Rybert</b:First>
          </b:Person>
        </b:NameList>
      </b:Author>
    </b:Author>
    <b:Pages>621-644</b:Pages>
    <b:Volume>10</b:Volume>
    <b:Issue>4</b:Issue>
    <b:RefOrder>3</b:RefOrder>
  </b:Source>
  <b:Source>
    <b:Tag>Alv17</b:Tag>
    <b:SourceType>JournalArticle</b:SourceType>
    <b:Guid>{1C42B64B-24F7-488F-A473-174EEFBA208B}</b:Guid>
    <b:Title>"Capital–labor substitution, structural change, and growth."</b:Title>
    <b:JournalName>Theoretical Economics</b:JournalName>
    <b:Year>2017</b:Year>
    <b:Pages>1229-1266</b:Pages>
    <b:Author>
      <b:Author>
        <b:NameList>
          <b:Person>
            <b:Last>Alvarez-Cuadrado</b:Last>
            <b:First>Fransicso</b:First>
          </b:Person>
          <b:Person>
            <b:Last>Van Long</b:Last>
            <b:First>Ngo</b:First>
          </b:Person>
          <b:Person>
            <b:Last>Poschke</b:Last>
            <b:First>Markus</b:First>
          </b:Person>
        </b:NameList>
      </b:Author>
    </b:Author>
    <b:Volume>12</b:Volume>
    <b:Issue>3</b:Issue>
    <b:RefOrder>1</b:RefOrder>
  </b:Source>
  <b:Source>
    <b:Tag>Sue16</b:Tag>
    <b:SourceType>JournalArticle</b:SourceType>
    <b:Guid>{15AF92CD-57E1-4521-9A8F-AF101AC41592}</b:Guid>
    <b:Title>Marginal Rate of Transformation and Rate of Substitution measured by DEA environmental assessment: Comparison among European and North American nations.</b:Title>
    <b:JournalName>Energy Economics</b:JournalName>
    <b:Year>2016</b:Year>
    <b:Pages>270-287</b:Pages>
    <b:Author>
      <b:Author>
        <b:NameList>
          <b:Person>
            <b:Last>Sueyoshi</b:Last>
            <b:First>Toshiyuki</b:First>
          </b:Person>
          <b:Person>
            <b:Last>Yuan</b:Last>
            <b:First>Yan</b:First>
          </b:Person>
        </b:NameList>
      </b:Author>
    </b:Author>
    <b:Volume>56</b:Volume>
    <b:RefOrder>2</b:RefOrder>
  </b:Source>
</b:Sources>
</file>

<file path=customXml/itemProps1.xml><?xml version="1.0" encoding="utf-8"?>
<ds:datastoreItem xmlns:ds="http://schemas.openxmlformats.org/officeDocument/2006/customXml" ds:itemID="{BBD4EC14-F365-4451-95B2-79FCF651A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957</Words>
  <Characters>5459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2019-04-20T00:43:00Z</dcterms:created>
  <dcterms:modified xsi:type="dcterms:W3CDTF">2019-04-20T00:43:00Z</dcterms:modified>
</cp:coreProperties>
</file>